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Non-Discrimination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True Therapy Consultants of Colorado LLC is committed to providing quality healthcare services to all individuals without discrimination on the basis of race, color, religion, sex, sexual orientation, gender identity or expression, national origin, age, disability, marital status, veteran status, or any other characteristic protected by applicable laws.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believe in promoting a safe, inclusive, and welcoming environment for all patients and staff members. Our practice adheres to all applicable federal, state, and local laws and regulations governing non-discrimination in healthcare.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commitment to non-discrimination extends to all aspects of our practice, including but not limited to: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Access to Care: We provide equal access to healthcare services, regardless of a person's protected characteristics. We do not deny services or treatment based on race, color, religion, sex, sexual orientation, gender identity or expression, national origin, age, disability, marital status, veteran status, or any other protected characteristic.</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Treatment and Services: All individuals receive equal treatment and access to medical care, diagnostic tests, medications, procedures, and other healthcare services provided by our practice.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Staff and Employment: We do not discriminate in our hiring practices or employment decisions based on protected characteristics. We provide equal employment opportunities to all qualified individuals, without regard to race, color, religion, sex, sexual orientation, gender identity or expression, national origin, age, disability, marital status, veteran status, or any other protected characteristic.</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Communication: We strive to ensure effective communication with all patients, regardless of their language proficiency or communication needs. We provide appropriate language assistance services and accommodations to facilitate clear and meaningful communication.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Complaints and Grievances: We have established procedures for addressing complaints and grievances related to discrimination or unequal treatment. If you believe you have been subjected to discrimination or have concerns about our non-discrimination practices, please contact our practice administrator [provide contact information].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Compliance and Training: We regularly review and update our policies and procedures to ensure compliance with non-discrimination laws. Our staff receives training on non-discrimination, cultural competency, and providing respectful and inclusive care.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are committed to creating an environment that values diversity, fosters respect, and ensures equal access to healthcare services for all individuals. If you have any questions or need further information regarding our non-discrimination policy, please do not hesitate to contact 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